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7E1A9" w14:textId="6A1DF627" w:rsidR="00D03701" w:rsidRPr="00DA4D55" w:rsidRDefault="00D03701" w:rsidP="00D0370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DA4D55">
        <w:rPr>
          <w:rFonts w:ascii="Arial" w:eastAsia="SimSun" w:hAnsi="Arial" w:cs="Times New Roman"/>
          <w:b/>
          <w:bCs/>
          <w:sz w:val="24"/>
          <w:szCs w:val="24"/>
          <w:lang w:val="en-GB"/>
        </w:rPr>
        <w:t>3GPP TSG-RAN WG4 Meeting #</w:t>
      </w:r>
      <w:r>
        <w:rPr>
          <w:rFonts w:ascii="Arial" w:eastAsia="SimSun" w:hAnsi="Arial" w:cs="Times New Roman"/>
          <w:b/>
          <w:bCs/>
          <w:sz w:val="24"/>
          <w:szCs w:val="24"/>
          <w:lang w:val="en-GB"/>
        </w:rPr>
        <w:t>101bis-e</w:t>
      </w:r>
      <w:r w:rsidRPr="00DA4D55">
        <w:rPr>
          <w:rFonts w:ascii="Arial" w:eastAsia="SimSun" w:hAnsi="Arial" w:cs="Times New Roman"/>
          <w:b/>
          <w:bCs/>
          <w:sz w:val="24"/>
          <w:szCs w:val="24"/>
          <w:lang w:val="en-GB"/>
        </w:rPr>
        <w:t xml:space="preserve">     </w:t>
      </w:r>
      <w:r w:rsidRPr="00DA4D55">
        <w:rPr>
          <w:rFonts w:ascii="Arial" w:eastAsia="SimSun" w:hAnsi="Arial" w:cs="Times New Roman"/>
          <w:b/>
          <w:bCs/>
          <w:sz w:val="24"/>
          <w:szCs w:val="24"/>
          <w:lang w:val="en-GB" w:eastAsia="ja-JP"/>
        </w:rPr>
        <w:tab/>
      </w:r>
      <w:r w:rsidRPr="0029413C">
        <w:rPr>
          <w:rFonts w:ascii="Arial" w:eastAsia="SimSun" w:hAnsi="Arial" w:cs="Times New Roman"/>
          <w:b/>
          <w:bCs/>
          <w:sz w:val="24"/>
          <w:szCs w:val="24"/>
          <w:lang w:val="en-GB" w:eastAsia="ja-JP"/>
        </w:rPr>
        <w:t>R4-2</w:t>
      </w:r>
      <w:r>
        <w:rPr>
          <w:rFonts w:ascii="Arial" w:eastAsia="SimSun" w:hAnsi="Arial" w:cs="Times New Roman"/>
          <w:b/>
          <w:bCs/>
          <w:sz w:val="24"/>
          <w:szCs w:val="24"/>
          <w:lang w:val="en-GB" w:eastAsia="ja-JP"/>
        </w:rPr>
        <w:t>2</w:t>
      </w:r>
      <w:r w:rsidR="006A5C90">
        <w:rPr>
          <w:rFonts w:ascii="Arial" w:eastAsia="SimSun" w:hAnsi="Arial" w:cs="Times New Roman"/>
          <w:b/>
          <w:bCs/>
          <w:sz w:val="24"/>
          <w:szCs w:val="24"/>
          <w:lang w:val="en-GB" w:eastAsia="ja-JP"/>
        </w:rPr>
        <w:t>00872</w:t>
      </w:r>
    </w:p>
    <w:bookmarkEnd w:id="0"/>
    <w:bookmarkEnd w:id="1"/>
    <w:p w14:paraId="2E78D15C" w14:textId="77777777" w:rsidR="00D03701" w:rsidRPr="00570645" w:rsidRDefault="00D03701" w:rsidP="00D03701">
      <w:pPr>
        <w:spacing w:after="0" w:line="240" w:lineRule="auto"/>
        <w:jc w:val="both"/>
        <w:textAlignment w:val="baseline"/>
        <w:rPr>
          <w:rFonts w:eastAsia="Times New Roman" w:cs="Times New Roman"/>
          <w:sz w:val="24"/>
          <w:szCs w:val="24"/>
          <w:lang w:eastAsia="da-DK"/>
        </w:rPr>
      </w:pPr>
      <w:r w:rsidRPr="00DA4D55">
        <w:rPr>
          <w:rFonts w:ascii="Arial" w:eastAsia="Times New Roman" w:hAnsi="Arial" w:cs="Arial"/>
          <w:b/>
          <w:bCs/>
          <w:sz w:val="24"/>
          <w:szCs w:val="24"/>
          <w:lang w:eastAsia="da-DK"/>
        </w:rPr>
        <w:t xml:space="preserve">E-meeting, </w:t>
      </w:r>
      <w:r>
        <w:rPr>
          <w:rFonts w:ascii="Arial" w:eastAsia="Times New Roman" w:hAnsi="Arial" w:cs="Arial"/>
          <w:b/>
          <w:bCs/>
          <w:sz w:val="24"/>
          <w:szCs w:val="24"/>
          <w:lang w:eastAsia="da-DK"/>
        </w:rPr>
        <w:t>January</w:t>
      </w:r>
      <w:r w:rsidRPr="00DA4D55">
        <w:rPr>
          <w:rFonts w:ascii="Arial" w:eastAsia="Times New Roman" w:hAnsi="Arial" w:cs="Arial"/>
          <w:b/>
          <w:bCs/>
          <w:sz w:val="24"/>
          <w:szCs w:val="24"/>
          <w:lang w:eastAsia="da-DK"/>
        </w:rPr>
        <w:t xml:space="preserve"> </w:t>
      </w:r>
      <w:r>
        <w:rPr>
          <w:rFonts w:ascii="Arial" w:eastAsia="Times New Roman" w:hAnsi="Arial" w:cs="Arial"/>
          <w:b/>
          <w:bCs/>
          <w:sz w:val="24"/>
          <w:szCs w:val="24"/>
          <w:lang w:eastAsia="da-DK"/>
        </w:rPr>
        <w:t>17</w:t>
      </w:r>
      <w:r w:rsidRPr="00106F99">
        <w:rPr>
          <w:rFonts w:ascii="Arial" w:eastAsia="Times New Roman" w:hAnsi="Arial" w:cs="Arial"/>
          <w:b/>
          <w:bCs/>
          <w:sz w:val="24"/>
          <w:szCs w:val="24"/>
          <w:vertAlign w:val="superscript"/>
          <w:lang w:eastAsia="da-DK"/>
        </w:rPr>
        <w:t>th</w:t>
      </w:r>
      <w:r w:rsidRPr="00DA4D55">
        <w:rPr>
          <w:rFonts w:ascii="Arial" w:eastAsia="Times New Roman" w:hAnsi="Arial" w:cs="Arial"/>
          <w:b/>
          <w:bCs/>
          <w:sz w:val="24"/>
          <w:szCs w:val="24"/>
          <w:lang w:eastAsia="da-DK"/>
        </w:rPr>
        <w:t xml:space="preserve"> – </w:t>
      </w:r>
      <w:r>
        <w:rPr>
          <w:rFonts w:ascii="Arial" w:eastAsia="Times New Roman" w:hAnsi="Arial" w:cs="Arial"/>
          <w:b/>
          <w:bCs/>
          <w:sz w:val="24"/>
          <w:szCs w:val="24"/>
          <w:lang w:eastAsia="da-DK"/>
        </w:rPr>
        <w:t>25</w:t>
      </w:r>
      <w:r w:rsidRPr="00106F99">
        <w:rPr>
          <w:rFonts w:ascii="Arial" w:eastAsia="Times New Roman" w:hAnsi="Arial" w:cs="Arial"/>
          <w:b/>
          <w:bCs/>
          <w:sz w:val="24"/>
          <w:szCs w:val="24"/>
          <w:vertAlign w:val="superscript"/>
          <w:lang w:eastAsia="da-DK"/>
        </w:rPr>
        <w:t>th</w:t>
      </w:r>
      <w:r w:rsidRPr="00DA4D55">
        <w:rPr>
          <w:rFonts w:ascii="Arial" w:eastAsia="Times New Roman" w:hAnsi="Arial" w:cs="Arial"/>
          <w:b/>
          <w:bCs/>
          <w:sz w:val="24"/>
          <w:szCs w:val="24"/>
          <w:lang w:eastAsia="da-DK"/>
        </w:rPr>
        <w:t>, 202</w:t>
      </w:r>
      <w:r>
        <w:rPr>
          <w:rFonts w:ascii="Arial" w:eastAsia="Times New Roman" w:hAnsi="Arial" w:cs="Arial"/>
          <w:b/>
          <w:bCs/>
          <w:sz w:val="24"/>
          <w:szCs w:val="24"/>
          <w:lang w:eastAsia="da-DK"/>
        </w:rPr>
        <w:t>2</w:t>
      </w:r>
      <w:r w:rsidRPr="00570645">
        <w:rPr>
          <w:rFonts w:ascii="Arial" w:eastAsia="Times New Roman" w:hAnsi="Arial" w:cs="Arial"/>
          <w:sz w:val="24"/>
          <w:szCs w:val="24"/>
          <w:lang w:eastAsia="da-DK"/>
        </w:rPr>
        <w:t> </w:t>
      </w:r>
    </w:p>
    <w:p w14:paraId="6C047C67" w14:textId="77777777" w:rsidR="00D03701" w:rsidRPr="000C56C0" w:rsidRDefault="00D03701" w:rsidP="00D03701">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03256E49" w14:textId="77777777" w:rsidR="00D03701" w:rsidRPr="00841BCD" w:rsidRDefault="00D03701" w:rsidP="00D03701">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4E04AB87" w14:textId="77777777" w:rsidR="00D03701" w:rsidRPr="00134BF5" w:rsidRDefault="00D03701" w:rsidP="00D03701">
      <w:pPr>
        <w:ind w:left="1985" w:hanging="1985"/>
        <w:jc w:val="both"/>
        <w:rPr>
          <w:rFonts w:ascii="Arial" w:eastAsia="Calibri" w:hAnsi="Arial" w:cs="Arial"/>
          <w:b/>
          <w:bCs/>
          <w:sz w:val="24"/>
          <w:szCs w:val="24"/>
        </w:rPr>
      </w:pPr>
      <w:r w:rsidRPr="67CE92D7">
        <w:rPr>
          <w:rFonts w:ascii="Arial" w:eastAsia="Calibri" w:hAnsi="Arial" w:cs="Arial"/>
          <w:b/>
          <w:bCs/>
          <w:sz w:val="24"/>
          <w:szCs w:val="24"/>
        </w:rPr>
        <w:t>Title:</w:t>
      </w:r>
      <w:r>
        <w:tab/>
      </w:r>
      <w:r w:rsidRPr="67CE92D7">
        <w:rPr>
          <w:rFonts w:ascii="Arial" w:eastAsia="Calibri" w:hAnsi="Arial" w:cs="Arial"/>
          <w:b/>
          <w:bCs/>
          <w:sz w:val="24"/>
          <w:szCs w:val="24"/>
        </w:rPr>
        <w:t>On cross-carrier BWP switch delay for extension to 71GHz</w:t>
      </w:r>
    </w:p>
    <w:p w14:paraId="24353F0D" w14:textId="77777777" w:rsidR="00D03701" w:rsidRPr="0069568E" w:rsidRDefault="00D03701" w:rsidP="00D03701">
      <w:pPr>
        <w:tabs>
          <w:tab w:val="left" w:pos="1985"/>
        </w:tabs>
        <w:spacing w:after="120" w:line="240" w:lineRule="auto"/>
        <w:jc w:val="both"/>
        <w:rPr>
          <w:rFonts w:ascii="Arial" w:eastAsia="MS Mincho" w:hAnsi="Arial" w:cs="Arial"/>
          <w:b/>
          <w:bCs/>
          <w:sz w:val="24"/>
          <w:szCs w:val="24"/>
        </w:rPr>
      </w:pPr>
      <w:r w:rsidRPr="67CE92D7">
        <w:rPr>
          <w:rFonts w:ascii="Arial" w:eastAsia="MS Mincho" w:hAnsi="Arial" w:cs="Arial"/>
          <w:b/>
          <w:bCs/>
          <w:sz w:val="24"/>
          <w:szCs w:val="24"/>
        </w:rPr>
        <w:t>Agenda item:</w:t>
      </w:r>
      <w:r>
        <w:tab/>
      </w:r>
      <w:r w:rsidRPr="67CE92D7">
        <w:rPr>
          <w:rFonts w:ascii="Arial" w:eastAsia="MS Mincho" w:hAnsi="Arial" w:cs="Arial"/>
          <w:b/>
          <w:bCs/>
          <w:sz w:val="24"/>
          <w:szCs w:val="24"/>
        </w:rPr>
        <w:t>6.16.7.4</w:t>
      </w:r>
    </w:p>
    <w:p w14:paraId="29C09A82" w14:textId="77777777" w:rsidR="00D03701" w:rsidRPr="0069568E" w:rsidRDefault="00D03701" w:rsidP="00D03701">
      <w:pPr>
        <w:tabs>
          <w:tab w:val="left" w:pos="1985"/>
        </w:tabs>
        <w:jc w:val="both"/>
        <w:rPr>
          <w:rFonts w:ascii="Arial" w:eastAsia="Calibri" w:hAnsi="Arial" w:cs="Arial"/>
          <w:b/>
          <w:bCs/>
          <w:sz w:val="24"/>
        </w:rPr>
      </w:pPr>
      <w:r w:rsidRPr="0069568E">
        <w:rPr>
          <w:rFonts w:ascii="Arial" w:eastAsia="Calibri" w:hAnsi="Arial" w:cs="Arial"/>
          <w:b/>
          <w:bCs/>
          <w:sz w:val="24"/>
        </w:rPr>
        <w:t>Document for:</w:t>
      </w:r>
      <w:r w:rsidRPr="0069568E">
        <w:rPr>
          <w:rFonts w:ascii="Arial" w:eastAsia="Calibri" w:hAnsi="Arial" w:cs="Arial"/>
          <w:b/>
          <w:bCs/>
          <w:sz w:val="24"/>
        </w:rPr>
        <w:tab/>
        <w:t>Discussion</w:t>
      </w:r>
    </w:p>
    <w:p w14:paraId="5CF43D53" w14:textId="77777777" w:rsidR="00D03701" w:rsidRDefault="00D03701" w:rsidP="00D037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20E179AA" w14:textId="77777777" w:rsidR="00D03701" w:rsidRDefault="00D03701" w:rsidP="00D03701">
      <w:pPr>
        <w:rPr>
          <w:rFonts w:cs="Times New Roman"/>
          <w:szCs w:val="20"/>
        </w:rPr>
      </w:pPr>
      <w:r>
        <w:rPr>
          <w:rFonts w:cs="Times New Roman"/>
          <w:szCs w:val="20"/>
        </w:rPr>
        <w:t xml:space="preserve">In the last RAN4 meeting, the following was agreed in </w:t>
      </w:r>
      <w:r>
        <w:rPr>
          <w:rFonts w:cs="Times New Roman"/>
          <w:szCs w:val="20"/>
        </w:rPr>
        <w:fldChar w:fldCharType="begin"/>
      </w:r>
      <w:r>
        <w:rPr>
          <w:rFonts w:cs="Times New Roman"/>
          <w:szCs w:val="20"/>
        </w:rPr>
        <w:instrText xml:space="preserve"> REF _Ref88570410 \r \h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p>
    <w:tbl>
      <w:tblPr>
        <w:tblStyle w:val="TableGrid"/>
        <w:tblW w:w="0" w:type="auto"/>
        <w:tblInd w:w="-5" w:type="dxa"/>
        <w:tblLook w:val="04A0" w:firstRow="1" w:lastRow="0" w:firstColumn="1" w:lastColumn="0" w:noHBand="0" w:noVBand="1"/>
      </w:tblPr>
      <w:tblGrid>
        <w:gridCol w:w="9622"/>
      </w:tblGrid>
      <w:tr w:rsidR="00D03701" w14:paraId="7795BC84" w14:textId="77777777" w:rsidTr="001E7731">
        <w:tc>
          <w:tcPr>
            <w:tcW w:w="9622" w:type="dxa"/>
          </w:tcPr>
          <w:p w14:paraId="05052070" w14:textId="77777777" w:rsidR="00D03701" w:rsidRDefault="00D03701" w:rsidP="001E7731">
            <w:pPr>
              <w:rPr>
                <w:b/>
                <w:u w:val="single"/>
                <w:lang w:eastAsia="ko-KR"/>
              </w:rPr>
            </w:pPr>
            <w:r>
              <w:rPr>
                <w:b/>
                <w:u w:val="single"/>
                <w:lang w:eastAsia="ko-KR"/>
              </w:rPr>
              <w:t>Deployment scenarios</w:t>
            </w:r>
          </w:p>
          <w:p w14:paraId="30BA2C93" w14:textId="77777777" w:rsidR="00D03701" w:rsidRDefault="00D03701" w:rsidP="00D03701">
            <w:pPr>
              <w:pStyle w:val="ListParagraph"/>
              <w:numPr>
                <w:ilvl w:val="0"/>
                <w:numId w:val="7"/>
              </w:numPr>
              <w:overflowPunct w:val="0"/>
              <w:autoSpaceDE w:val="0"/>
              <w:autoSpaceDN w:val="0"/>
              <w:adjustRightInd w:val="0"/>
              <w:spacing w:before="120" w:after="120"/>
            </w:pPr>
            <w:r>
              <w:t>To clarify the scope of RRM, RRM requirements for Ext_to_71GHz should be defined for the scenarios below in Rel-17.</w:t>
            </w:r>
          </w:p>
          <w:p w14:paraId="714CCC9B" w14:textId="77777777" w:rsidR="00D03701" w:rsidRDefault="00D03701" w:rsidP="00D03701">
            <w:pPr>
              <w:pStyle w:val="ListParagraph"/>
              <w:numPr>
                <w:ilvl w:val="1"/>
                <w:numId w:val="7"/>
              </w:numPr>
              <w:overflowPunct w:val="0"/>
              <w:autoSpaceDE w:val="0"/>
              <w:autoSpaceDN w:val="0"/>
              <w:adjustRightInd w:val="0"/>
              <w:spacing w:before="120" w:after="120"/>
            </w:pPr>
            <w:r>
              <w:t>FR2-2 single carrier and CA in SA</w:t>
            </w:r>
          </w:p>
          <w:p w14:paraId="2A5241E8" w14:textId="77777777" w:rsidR="00D03701" w:rsidRDefault="00D03701" w:rsidP="00D03701">
            <w:pPr>
              <w:pStyle w:val="ListParagraph"/>
              <w:numPr>
                <w:ilvl w:val="1"/>
                <w:numId w:val="7"/>
              </w:numPr>
              <w:overflowPunct w:val="0"/>
              <w:autoSpaceDE w:val="0"/>
              <w:autoSpaceDN w:val="0"/>
              <w:adjustRightInd w:val="0"/>
              <w:spacing w:before="120" w:after="120"/>
            </w:pPr>
            <w:r>
              <w:t>FR1+FR2-2 CA (FR1 is PCell)</w:t>
            </w:r>
          </w:p>
          <w:p w14:paraId="30B734D4" w14:textId="77777777" w:rsidR="00D03701" w:rsidRDefault="00D03701" w:rsidP="00D03701">
            <w:pPr>
              <w:pStyle w:val="ListParagraph"/>
              <w:numPr>
                <w:ilvl w:val="1"/>
                <w:numId w:val="7"/>
              </w:numPr>
              <w:overflowPunct w:val="0"/>
              <w:autoSpaceDE w:val="0"/>
              <w:autoSpaceDN w:val="0"/>
              <w:adjustRightInd w:val="0"/>
              <w:spacing w:before="120" w:after="120"/>
            </w:pPr>
            <w:r>
              <w:t>FR1+FR2-2 DC (FR1 is PCell)</w:t>
            </w:r>
          </w:p>
          <w:p w14:paraId="7F7270CB" w14:textId="77777777" w:rsidR="00D03701" w:rsidRDefault="00D03701" w:rsidP="00D03701">
            <w:pPr>
              <w:pStyle w:val="ListParagraph"/>
              <w:numPr>
                <w:ilvl w:val="1"/>
                <w:numId w:val="7"/>
              </w:numPr>
              <w:overflowPunct w:val="0"/>
              <w:autoSpaceDE w:val="0"/>
              <w:autoSpaceDN w:val="0"/>
              <w:adjustRightInd w:val="0"/>
              <w:spacing w:before="120" w:after="120"/>
            </w:pPr>
            <w:r>
              <w:t>Other scenarios are precluded in Rel-17.</w:t>
            </w:r>
          </w:p>
          <w:p w14:paraId="645E1C65" w14:textId="77777777" w:rsidR="00D03701" w:rsidRDefault="00D03701" w:rsidP="00D03701">
            <w:pPr>
              <w:pStyle w:val="ListParagraph"/>
              <w:numPr>
                <w:ilvl w:val="0"/>
                <w:numId w:val="7"/>
              </w:numPr>
              <w:overflowPunct w:val="0"/>
              <w:autoSpaceDE w:val="0"/>
              <w:autoSpaceDN w:val="0"/>
              <w:adjustRightInd w:val="0"/>
              <w:spacing w:before="120" w:after="120"/>
            </w:pPr>
            <w:r>
              <w:t>Applicability of inter-band CA requirements for FR2-2</w:t>
            </w:r>
          </w:p>
          <w:p w14:paraId="09744A40" w14:textId="77777777" w:rsidR="00D03701" w:rsidRDefault="00D03701" w:rsidP="00D03701">
            <w:pPr>
              <w:pStyle w:val="ListParagraph"/>
              <w:numPr>
                <w:ilvl w:val="1"/>
                <w:numId w:val="7"/>
              </w:numPr>
              <w:overflowPunct w:val="0"/>
              <w:autoSpaceDE w:val="0"/>
              <w:autoSpaceDN w:val="0"/>
              <w:adjustRightInd w:val="0"/>
              <w:spacing w:before="120" w:after="120"/>
            </w:pPr>
            <w:r>
              <w:t xml:space="preserve">RAN4 agreed not to define requirements for inter-band CA within FR2-2 as currently there is only one agreed band in FR2-2. </w:t>
            </w:r>
          </w:p>
          <w:p w14:paraId="4D5140E2" w14:textId="77777777" w:rsidR="00D03701" w:rsidRDefault="00D03701" w:rsidP="00D03701">
            <w:pPr>
              <w:pStyle w:val="ListParagraph"/>
              <w:numPr>
                <w:ilvl w:val="2"/>
                <w:numId w:val="7"/>
              </w:numPr>
              <w:overflowPunct w:val="0"/>
              <w:autoSpaceDE w:val="0"/>
              <w:autoSpaceDN w:val="0"/>
              <w:adjustRightInd w:val="0"/>
              <w:spacing w:before="120" w:after="120"/>
            </w:pPr>
            <w:r>
              <w:t>The agreement can be revised if more bands agreed in RF</w:t>
            </w:r>
          </w:p>
          <w:p w14:paraId="4132EA74" w14:textId="77777777" w:rsidR="00D03701" w:rsidRDefault="00D03701" w:rsidP="001E7731">
            <w:pPr>
              <w:rPr>
                <w:b/>
                <w:u w:val="single"/>
                <w:lang w:eastAsia="ko-KR"/>
              </w:rPr>
            </w:pPr>
            <w:r>
              <w:rPr>
                <w:b/>
                <w:u w:val="single"/>
                <w:lang w:eastAsia="ko-KR"/>
              </w:rPr>
              <w:t>MRTD/MTTD</w:t>
            </w:r>
          </w:p>
          <w:p w14:paraId="59594180" w14:textId="77777777" w:rsidR="00D03701" w:rsidRDefault="00D03701" w:rsidP="00D03701">
            <w:pPr>
              <w:pStyle w:val="ListParagraph"/>
              <w:numPr>
                <w:ilvl w:val="0"/>
                <w:numId w:val="8"/>
              </w:numPr>
              <w:overflowPunct w:val="0"/>
              <w:autoSpaceDE w:val="0"/>
              <w:autoSpaceDN w:val="0"/>
              <w:adjustRightInd w:val="0"/>
              <w:spacing w:before="120" w:after="120"/>
            </w:pPr>
            <w:r>
              <w:rPr>
                <w:bCs/>
                <w:lang w:eastAsia="ko-KR"/>
              </w:rPr>
              <w:t xml:space="preserve">Basic principles – </w:t>
            </w:r>
            <w:r>
              <w:t>FFS</w:t>
            </w:r>
          </w:p>
          <w:p w14:paraId="5032B1C7" w14:textId="77777777" w:rsidR="00D03701" w:rsidRDefault="00D03701" w:rsidP="00D03701">
            <w:pPr>
              <w:pStyle w:val="ListParagraph"/>
              <w:numPr>
                <w:ilvl w:val="0"/>
                <w:numId w:val="8"/>
              </w:numPr>
              <w:overflowPunct w:val="0"/>
              <w:autoSpaceDE w:val="0"/>
              <w:autoSpaceDN w:val="0"/>
              <w:adjustRightInd w:val="0"/>
              <w:spacing w:before="120" w:after="120"/>
            </w:pPr>
            <w:r>
              <w:t>Propagation delay</w:t>
            </w:r>
          </w:p>
          <w:p w14:paraId="43DAF6CF" w14:textId="77777777" w:rsidR="00D03701" w:rsidRDefault="00D03701" w:rsidP="00D03701">
            <w:pPr>
              <w:pStyle w:val="ListParagraph"/>
              <w:numPr>
                <w:ilvl w:val="1"/>
                <w:numId w:val="8"/>
              </w:numPr>
              <w:overflowPunct w:val="0"/>
              <w:autoSpaceDE w:val="0"/>
              <w:autoSpaceDN w:val="0"/>
              <w:adjustRightInd w:val="0"/>
              <w:spacing w:before="120" w:after="120"/>
            </w:pPr>
            <w:r>
              <w:t>FFS: Assumptions on propagation delay for FR2-2</w:t>
            </w:r>
          </w:p>
          <w:p w14:paraId="423B4308" w14:textId="77777777" w:rsidR="00D03701" w:rsidRDefault="00D03701" w:rsidP="00D03701">
            <w:pPr>
              <w:pStyle w:val="ListParagraph"/>
              <w:numPr>
                <w:ilvl w:val="0"/>
                <w:numId w:val="8"/>
              </w:numPr>
              <w:overflowPunct w:val="0"/>
              <w:autoSpaceDE w:val="0"/>
              <w:autoSpaceDN w:val="0"/>
              <w:adjustRightInd w:val="0"/>
              <w:spacing w:before="120" w:after="120"/>
            </w:pPr>
            <w:r>
              <w:t>MRTD for intra-band non-contiguous CA</w:t>
            </w:r>
          </w:p>
          <w:p w14:paraId="76876FF5" w14:textId="77777777" w:rsidR="00D03701" w:rsidRDefault="00D03701" w:rsidP="00D03701">
            <w:pPr>
              <w:pStyle w:val="ListParagraph"/>
              <w:numPr>
                <w:ilvl w:val="1"/>
                <w:numId w:val="8"/>
              </w:numPr>
              <w:overflowPunct w:val="0"/>
              <w:autoSpaceDE w:val="0"/>
              <w:autoSpaceDN w:val="0"/>
              <w:adjustRightInd w:val="0"/>
              <w:spacing w:before="120" w:after="120"/>
            </w:pPr>
            <w:r>
              <w:t>Wait for conclusions on TAE before defining the MRTD requirement for intra-band non-contiguous NR CA within FR2-2</w:t>
            </w:r>
          </w:p>
          <w:p w14:paraId="44DEF2FA" w14:textId="77777777" w:rsidR="00D03701" w:rsidRDefault="00D03701" w:rsidP="00D03701">
            <w:pPr>
              <w:pStyle w:val="ListParagraph"/>
              <w:numPr>
                <w:ilvl w:val="0"/>
                <w:numId w:val="8"/>
              </w:numPr>
              <w:overflowPunct w:val="0"/>
              <w:autoSpaceDE w:val="0"/>
              <w:autoSpaceDN w:val="0"/>
              <w:adjustRightInd w:val="0"/>
              <w:spacing w:before="120" w:after="120"/>
            </w:pPr>
            <w:r>
              <w:t>MRTD for FR2-2 inter-band CA</w:t>
            </w:r>
          </w:p>
          <w:p w14:paraId="381C4D18" w14:textId="77777777" w:rsidR="00D03701" w:rsidRDefault="00D03701" w:rsidP="00D03701">
            <w:pPr>
              <w:pStyle w:val="ListParagraph"/>
              <w:numPr>
                <w:ilvl w:val="1"/>
                <w:numId w:val="8"/>
              </w:numPr>
              <w:overflowPunct w:val="0"/>
              <w:autoSpaceDE w:val="0"/>
              <w:autoSpaceDN w:val="0"/>
              <w:adjustRightInd w:val="0"/>
              <w:spacing w:before="120" w:after="120"/>
            </w:pPr>
            <w:r>
              <w:t>No requirements needed unless more bands are introduced in RF room</w:t>
            </w:r>
          </w:p>
          <w:p w14:paraId="30C65741" w14:textId="77777777" w:rsidR="00D03701" w:rsidRDefault="00D03701" w:rsidP="00D03701">
            <w:pPr>
              <w:pStyle w:val="ListParagraph"/>
              <w:numPr>
                <w:ilvl w:val="0"/>
                <w:numId w:val="8"/>
              </w:numPr>
              <w:overflowPunct w:val="0"/>
              <w:autoSpaceDE w:val="0"/>
              <w:autoSpaceDN w:val="0"/>
              <w:adjustRightInd w:val="0"/>
              <w:spacing w:before="120" w:after="120"/>
            </w:pPr>
            <w:r>
              <w:t>MRTD for FR1 and FR2-2 inter-band CA – FFS</w:t>
            </w:r>
          </w:p>
          <w:p w14:paraId="440E21AB" w14:textId="77777777" w:rsidR="00D03701" w:rsidRDefault="00D03701" w:rsidP="00D03701">
            <w:pPr>
              <w:pStyle w:val="ListParagraph"/>
              <w:numPr>
                <w:ilvl w:val="0"/>
                <w:numId w:val="8"/>
              </w:numPr>
              <w:overflowPunct w:val="0"/>
              <w:autoSpaceDE w:val="0"/>
              <w:autoSpaceDN w:val="0"/>
              <w:adjustRightInd w:val="0"/>
              <w:spacing w:before="120" w:after="120"/>
            </w:pPr>
            <w:r>
              <w:t>MRTD for FR1 and FR2-2 NR DC</w:t>
            </w:r>
          </w:p>
          <w:p w14:paraId="6D2E7AC7" w14:textId="77777777" w:rsidR="00D03701" w:rsidRDefault="00D03701" w:rsidP="00D03701">
            <w:pPr>
              <w:pStyle w:val="ListParagraph"/>
              <w:numPr>
                <w:ilvl w:val="1"/>
                <w:numId w:val="8"/>
              </w:numPr>
              <w:overflowPunct w:val="0"/>
              <w:autoSpaceDE w:val="0"/>
              <w:autoSpaceDN w:val="0"/>
              <w:adjustRightInd w:val="0"/>
              <w:spacing w:before="120" w:after="120"/>
            </w:pPr>
            <w:r>
              <w:t>FFS – Inter-band synchronous NR DC between FR1 and FR2-2</w:t>
            </w:r>
          </w:p>
          <w:p w14:paraId="2B292672" w14:textId="77777777" w:rsidR="00D03701" w:rsidRDefault="00D03701" w:rsidP="00D03701">
            <w:pPr>
              <w:pStyle w:val="ListParagraph"/>
              <w:numPr>
                <w:ilvl w:val="2"/>
                <w:numId w:val="8"/>
              </w:numPr>
              <w:autoSpaceDN w:val="0"/>
              <w:spacing w:after="120"/>
              <w:rPr>
                <w:bCs/>
                <w:lang w:eastAsia="ko-KR"/>
              </w:rPr>
            </w:pPr>
            <w:r>
              <w:rPr>
                <w:bCs/>
                <w:lang w:eastAsia="ko-KR"/>
              </w:rPr>
              <w:t>Option 1: Use the existing requirements for FR1 and FR2-1 MRTD requirements</w:t>
            </w:r>
          </w:p>
          <w:p w14:paraId="64B4AA85" w14:textId="77777777" w:rsidR="00D03701" w:rsidRDefault="00D03701" w:rsidP="00D03701">
            <w:pPr>
              <w:pStyle w:val="ListParagraph"/>
              <w:numPr>
                <w:ilvl w:val="2"/>
                <w:numId w:val="8"/>
              </w:numPr>
              <w:autoSpaceDN w:val="0"/>
              <w:spacing w:after="120"/>
              <w:rPr>
                <w:bCs/>
                <w:lang w:eastAsia="ko-KR"/>
              </w:rPr>
            </w:pPr>
            <w:r>
              <w:rPr>
                <w:bCs/>
                <w:lang w:eastAsia="ko-KR"/>
              </w:rPr>
              <w:t>Option 2: Specify shorter MRTD requirements</w:t>
            </w:r>
          </w:p>
          <w:p w14:paraId="01FE989F" w14:textId="77777777" w:rsidR="00D03701" w:rsidRDefault="00D03701" w:rsidP="00D03701">
            <w:pPr>
              <w:pStyle w:val="ListParagraph"/>
              <w:numPr>
                <w:ilvl w:val="2"/>
                <w:numId w:val="8"/>
              </w:numPr>
              <w:autoSpaceDN w:val="0"/>
              <w:spacing w:after="120"/>
              <w:rPr>
                <w:bCs/>
                <w:lang w:eastAsia="ko-KR"/>
              </w:rPr>
            </w:pPr>
            <w:r>
              <w:rPr>
                <w:bCs/>
                <w:lang w:eastAsia="ko-KR"/>
              </w:rPr>
              <w:t>Option 3: Wait for conclusions on TAE requirements</w:t>
            </w:r>
          </w:p>
          <w:p w14:paraId="1F31B93F" w14:textId="77777777" w:rsidR="00D03701" w:rsidRDefault="00D03701" w:rsidP="00D03701">
            <w:pPr>
              <w:pStyle w:val="ListParagraph"/>
              <w:numPr>
                <w:ilvl w:val="1"/>
                <w:numId w:val="8"/>
              </w:numPr>
              <w:overflowPunct w:val="0"/>
              <w:autoSpaceDE w:val="0"/>
              <w:autoSpaceDN w:val="0"/>
              <w:adjustRightInd w:val="0"/>
              <w:spacing w:before="120" w:after="120"/>
            </w:pPr>
            <w:r>
              <w:t>FFS – Inter-band asynchronous NR DC between FR1 and FR2-2</w:t>
            </w:r>
          </w:p>
          <w:p w14:paraId="519C632E" w14:textId="77777777" w:rsidR="00D03701" w:rsidRDefault="00D03701" w:rsidP="001E7731">
            <w:pPr>
              <w:pStyle w:val="RAN4H3"/>
              <w:ind w:left="0" w:firstLine="0"/>
            </w:pPr>
          </w:p>
        </w:tc>
      </w:tr>
    </w:tbl>
    <w:p w14:paraId="466E07DE" w14:textId="77777777" w:rsidR="00D03701" w:rsidRDefault="00D03701" w:rsidP="00D03701">
      <w:pPr>
        <w:rPr>
          <w:rFonts w:cs="Times New Roman"/>
          <w:szCs w:val="20"/>
        </w:rPr>
      </w:pPr>
    </w:p>
    <w:p w14:paraId="0630A97E" w14:textId="77777777" w:rsidR="00D03701" w:rsidRDefault="00D03701" w:rsidP="00D03701">
      <w:r>
        <w:rPr>
          <w:rFonts w:cs="Times New Roman"/>
          <w:szCs w:val="20"/>
        </w:rPr>
        <w:t xml:space="preserve">And the following was agreed in </w:t>
      </w:r>
      <w:r>
        <w:rPr>
          <w:rFonts w:cs="Times New Roman"/>
          <w:szCs w:val="20"/>
        </w:rPr>
        <w:fldChar w:fldCharType="begin"/>
      </w:r>
      <w:r>
        <w:rPr>
          <w:rFonts w:cs="Times New Roman"/>
          <w:szCs w:val="20"/>
        </w:rPr>
        <w:instrText xml:space="preserve"> REF _Ref88570466 \r \h </w:instrText>
      </w:r>
      <w:r>
        <w:rPr>
          <w:rFonts w:cs="Times New Roman"/>
          <w:szCs w:val="20"/>
        </w:rPr>
      </w:r>
      <w:r>
        <w:rPr>
          <w:rFonts w:cs="Times New Roman"/>
          <w:szCs w:val="20"/>
        </w:rPr>
        <w:fldChar w:fldCharType="separate"/>
      </w:r>
      <w:r>
        <w:rPr>
          <w:rFonts w:cs="Times New Roman"/>
          <w:szCs w:val="20"/>
        </w:rPr>
        <w:t>[2]</w:t>
      </w:r>
      <w:r>
        <w:rPr>
          <w:rFonts w:cs="Times New Roman"/>
          <w:szCs w:val="20"/>
        </w:rPr>
        <w:fldChar w:fldCharType="end"/>
      </w:r>
      <w:r>
        <w:rPr>
          <w:rFonts w:cs="Times New Roman"/>
          <w:szCs w:val="20"/>
        </w:rPr>
        <w:t>:</w:t>
      </w:r>
    </w:p>
    <w:tbl>
      <w:tblPr>
        <w:tblStyle w:val="TableGrid"/>
        <w:tblW w:w="0" w:type="auto"/>
        <w:tblLook w:val="04A0" w:firstRow="1" w:lastRow="0" w:firstColumn="1" w:lastColumn="0" w:noHBand="0" w:noVBand="1"/>
      </w:tblPr>
      <w:tblGrid>
        <w:gridCol w:w="9617"/>
      </w:tblGrid>
      <w:tr w:rsidR="00D03701" w14:paraId="258CC456" w14:textId="77777777" w:rsidTr="001E7731">
        <w:tc>
          <w:tcPr>
            <w:tcW w:w="9617" w:type="dxa"/>
          </w:tcPr>
          <w:p w14:paraId="13E2F216" w14:textId="77777777" w:rsidR="00D03701" w:rsidRPr="00BE3844" w:rsidRDefault="00D03701" w:rsidP="001E7731">
            <w:pPr>
              <w:rPr>
                <w:rFonts w:eastAsia="Times New Roman" w:cs="Times New Roman"/>
                <w:szCs w:val="20"/>
                <w:lang w:val="en-GB" w:eastAsia="da-DK"/>
              </w:rPr>
            </w:pPr>
            <w:r w:rsidRPr="00BE3844">
              <w:rPr>
                <w:rFonts w:eastAsia="Times New Roman" w:cs="Times New Roman"/>
                <w:b/>
                <w:bCs/>
                <w:szCs w:val="20"/>
                <w:u w:val="single"/>
                <w:lang w:val="en-GB" w:eastAsia="da-DK"/>
              </w:rPr>
              <w:t>BWP switching delay for FR2-2</w:t>
            </w:r>
          </w:p>
          <w:p w14:paraId="046DE906" w14:textId="77777777" w:rsidR="00D03701" w:rsidRPr="00BE3844" w:rsidRDefault="00D03701" w:rsidP="00D03701">
            <w:pPr>
              <w:numPr>
                <w:ilvl w:val="0"/>
                <w:numId w:val="5"/>
              </w:numPr>
              <w:ind w:left="540"/>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Active BWP switching delay requirements</w:t>
            </w:r>
          </w:p>
          <w:p w14:paraId="0791330C" w14:textId="77777777" w:rsidR="00D03701" w:rsidRPr="00BE3844" w:rsidRDefault="00D03701" w:rsidP="00D03701">
            <w:pPr>
              <w:numPr>
                <w:ilvl w:val="1"/>
                <w:numId w:val="5"/>
              </w:numPr>
              <w:ind w:left="1080"/>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BWP switching delay reduction for 480/960kHz can be further discussed in R18 or later releases</w:t>
            </w:r>
          </w:p>
          <w:p w14:paraId="685FF8BF" w14:textId="77777777" w:rsidR="00D03701" w:rsidRPr="00BE3844" w:rsidRDefault="00D03701" w:rsidP="00D03701">
            <w:pPr>
              <w:numPr>
                <w:ilvl w:val="1"/>
                <w:numId w:val="5"/>
              </w:numPr>
              <w:ind w:left="1080"/>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RAN4 to further check whether FR2-2 BWP Switching on Multiple CCs can follow chapter 8.6.2A, chapter 8.6.2B and Chapter 8.6.3A in TS38.133</w:t>
            </w:r>
          </w:p>
          <w:p w14:paraId="44D6A9BA" w14:textId="77777777" w:rsidR="00D03701" w:rsidRPr="00BE3844" w:rsidRDefault="00D03701" w:rsidP="001E7731">
            <w:pPr>
              <w:ind w:left="1260"/>
              <w:rPr>
                <w:rFonts w:eastAsia="Times New Roman" w:cs="Times New Roman"/>
                <w:szCs w:val="20"/>
                <w:lang w:val="en-GB" w:eastAsia="da-DK"/>
              </w:rPr>
            </w:pPr>
          </w:p>
          <w:p w14:paraId="7A3A2573" w14:textId="77777777" w:rsidR="00D03701" w:rsidRPr="00BE3844" w:rsidRDefault="00D03701" w:rsidP="00D03701">
            <w:pPr>
              <w:numPr>
                <w:ilvl w:val="0"/>
                <w:numId w:val="6"/>
              </w:numPr>
              <w:ind w:left="540"/>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Cross-carrier active BWP switching</w:t>
            </w:r>
          </w:p>
          <w:p w14:paraId="23BBA7A9" w14:textId="77777777" w:rsidR="00D03701" w:rsidRPr="00D03701" w:rsidRDefault="00D03701" w:rsidP="00D03701">
            <w:pPr>
              <w:numPr>
                <w:ilvl w:val="1"/>
                <w:numId w:val="6"/>
              </w:numPr>
              <w:textAlignment w:val="center"/>
              <w:rPr>
                <w:rFonts w:ascii="Calibri" w:eastAsia="Times New Roman" w:hAnsi="Calibri" w:cs="Calibri"/>
                <w:sz w:val="22"/>
                <w:lang w:val="en-GB" w:eastAsia="da-DK"/>
              </w:rPr>
            </w:pPr>
            <w:r w:rsidRPr="00D03701">
              <w:rPr>
                <w:rFonts w:eastAsia="Times New Roman" w:cs="Times New Roman"/>
                <w:szCs w:val="20"/>
                <w:lang w:val="en-GB" w:eastAsia="da-DK"/>
              </w:rPr>
              <w:t>MRTD value should be considered for BWP switching delay definition in cross-carrier scheduling case.</w:t>
            </w:r>
          </w:p>
          <w:p w14:paraId="711BD409" w14:textId="77777777" w:rsidR="00D03701" w:rsidRPr="00BE3844" w:rsidRDefault="00D03701" w:rsidP="00D03701">
            <w:pPr>
              <w:numPr>
                <w:ilvl w:val="1"/>
                <w:numId w:val="6"/>
              </w:numPr>
              <w:textAlignment w:val="center"/>
              <w:rPr>
                <w:rFonts w:ascii="Calibri" w:eastAsia="Times New Roman" w:hAnsi="Calibri" w:cs="Calibri"/>
                <w:sz w:val="22"/>
                <w:lang w:val="en-GB" w:eastAsia="da-DK"/>
              </w:rPr>
            </w:pPr>
            <w:r w:rsidRPr="00D03701">
              <w:rPr>
                <w:rFonts w:eastAsia="Times New Roman" w:cs="Times New Roman"/>
                <w:szCs w:val="20"/>
                <w:lang w:val="en-GB" w:eastAsia="da-DK"/>
              </w:rPr>
              <w:t>RAN4 to further discuss how to define requirements for cross-carrier BWP switching considering the following</w:t>
            </w:r>
            <w:r w:rsidRPr="00BE3844">
              <w:rPr>
                <w:rFonts w:eastAsia="Times New Roman" w:cs="Times New Roman"/>
                <w:szCs w:val="20"/>
                <w:lang w:val="en-GB" w:eastAsia="da-DK"/>
              </w:rPr>
              <w:t xml:space="preserve"> questions:</w:t>
            </w:r>
          </w:p>
          <w:p w14:paraId="53A24EB6" w14:textId="77777777" w:rsidR="00D03701" w:rsidRPr="00BE3844" w:rsidRDefault="00D03701" w:rsidP="00D03701">
            <w:pPr>
              <w:numPr>
                <w:ilvl w:val="2"/>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How to account MRTD in cross-carrier BWP switching delay:</w:t>
            </w:r>
          </w:p>
          <w:p w14:paraId="14B27642"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lastRenderedPageBreak/>
              <w:t>Option 1: Several slots according to the MRTD length</w:t>
            </w:r>
          </w:p>
          <w:p w14:paraId="1D6F8929"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Option 2: 1 slot to reserve misalignment in case of asynchronous between two carriers</w:t>
            </w:r>
          </w:p>
          <w:p w14:paraId="5AEDB2CC"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Other options are not precluded</w:t>
            </w:r>
          </w:p>
          <w:p w14:paraId="6BF13232" w14:textId="77777777" w:rsidR="00D03701" w:rsidRPr="00BE3844" w:rsidRDefault="00D03701" w:rsidP="00D03701">
            <w:pPr>
              <w:numPr>
                <w:ilvl w:val="2"/>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How to consider additional margin for cross-carrier scheduling</w:t>
            </w:r>
          </w:p>
          <w:p w14:paraId="1F1F8C32"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Option 1: Any option of previous question covers the margin as ceiling to the integer number provides additional time for cross-carrier processing</w:t>
            </w:r>
          </w:p>
          <w:p w14:paraId="18522086"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Option 2: 1 slot of 120 kHz when both scheduling carrier and scheduled carrier are in FR2-2 (aligned with Option 2 of the previous question)</w:t>
            </w:r>
          </w:p>
          <w:p w14:paraId="21B67DA9"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Other options are not precluded</w:t>
            </w:r>
          </w:p>
          <w:p w14:paraId="70FF9315" w14:textId="77777777" w:rsidR="00D03701" w:rsidRPr="00BE3844" w:rsidRDefault="00D03701" w:rsidP="00D03701">
            <w:pPr>
              <w:numPr>
                <w:ilvl w:val="2"/>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How to consider different SCS between scheduling cell and scheduled cell for cross-carrier BWP switching delay:</w:t>
            </w:r>
          </w:p>
          <w:p w14:paraId="17BA92E7"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Option 1: the delay requirements to be defined considering the SCS of scheduled cell</w:t>
            </w:r>
          </w:p>
          <w:p w14:paraId="6BA26E93" w14:textId="77777777" w:rsidR="00D03701" w:rsidRPr="00BE3844" w:rsidRDefault="00D03701" w:rsidP="00D03701">
            <w:pPr>
              <w:numPr>
                <w:ilvl w:val="3"/>
                <w:numId w:val="6"/>
              </w:numPr>
              <w:textAlignment w:val="center"/>
              <w:rPr>
                <w:rFonts w:ascii="Calibri" w:eastAsia="Times New Roman" w:hAnsi="Calibri" w:cs="Calibri"/>
                <w:sz w:val="22"/>
                <w:lang w:val="en-GB" w:eastAsia="da-DK"/>
              </w:rPr>
            </w:pPr>
            <w:r w:rsidRPr="00BE3844">
              <w:rPr>
                <w:rFonts w:eastAsia="Times New Roman" w:cs="Times New Roman"/>
                <w:szCs w:val="20"/>
                <w:lang w:val="en-GB" w:eastAsia="da-DK"/>
              </w:rPr>
              <w:t>Option 2: keep current assumption which says “T</w:t>
            </w:r>
            <w:r w:rsidRPr="00BE3844">
              <w:rPr>
                <w:rFonts w:eastAsia="Times New Roman" w:cs="Times New Roman"/>
                <w:szCs w:val="20"/>
                <w:vertAlign w:val="subscript"/>
                <w:lang w:val="en-GB" w:eastAsia="da-DK"/>
              </w:rPr>
              <w:t>BWPswitchDelay</w:t>
            </w:r>
            <w:r w:rsidRPr="00BE3844">
              <w:rPr>
                <w:rFonts w:eastAsia="Times New Roman" w:cs="Times New Roman"/>
                <w:szCs w:val="20"/>
                <w:lang w:val="en-GB" w:eastAsia="da-DK"/>
              </w:rPr>
              <w:t xml:space="preserve"> + Y shall follow the smaller SCS of scheduling cell, scheduled cells before and scheduled cells after active BWP change”</w:t>
            </w:r>
          </w:p>
          <w:p w14:paraId="5178E241" w14:textId="77777777" w:rsidR="00D03701" w:rsidRPr="00BE3844" w:rsidRDefault="00D03701" w:rsidP="001E7731">
            <w:pPr>
              <w:rPr>
                <w:rFonts w:cs="Times New Roman"/>
                <w:szCs w:val="20"/>
                <w:lang w:val="en-GB"/>
              </w:rPr>
            </w:pPr>
          </w:p>
        </w:tc>
      </w:tr>
    </w:tbl>
    <w:p w14:paraId="2454E039" w14:textId="77777777" w:rsidR="00D03701" w:rsidRDefault="00D03701" w:rsidP="00D03701">
      <w:pPr>
        <w:rPr>
          <w:rFonts w:cs="Times New Roman"/>
          <w:szCs w:val="20"/>
        </w:rPr>
      </w:pPr>
    </w:p>
    <w:p w14:paraId="672AC166" w14:textId="77777777" w:rsidR="00D03701" w:rsidRDefault="00D03701" w:rsidP="00D03701">
      <w:pPr>
        <w:rPr>
          <w:rFonts w:cs="Times New Roman"/>
          <w:szCs w:val="20"/>
        </w:rPr>
      </w:pPr>
      <w:r>
        <w:rPr>
          <w:rFonts w:cs="Times New Roman"/>
          <w:szCs w:val="20"/>
        </w:rPr>
        <w:t>In this contribution we address the cross-carrier Active BWP switch delay.</w:t>
      </w:r>
    </w:p>
    <w:p w14:paraId="6E4A45F6" w14:textId="77777777" w:rsidR="00D03701" w:rsidRDefault="00D03701" w:rsidP="00D03701">
      <w:pPr>
        <w:pStyle w:val="RAN4H1"/>
      </w:pPr>
      <w:r>
        <w:t>2</w:t>
      </w:r>
      <w:r w:rsidRPr="00841BCD">
        <w:tab/>
      </w:r>
      <w:r>
        <w:t>Cross-carrier active BWP switch requirements</w:t>
      </w:r>
    </w:p>
    <w:p w14:paraId="326ADB64" w14:textId="77777777" w:rsidR="00D03701" w:rsidRDefault="00D03701" w:rsidP="00D03701">
      <w:r>
        <w:t>In the last RAN4 meeting, the cross-carrier active BWP switch requirements were discussed. During the meeting, some companies brought the fact that the definition of the slot n, in which the delay starts, is unclear in cross-carrier scheduling.</w:t>
      </w:r>
      <w:r w:rsidRPr="000276A3">
        <w:t xml:space="preserve"> </w:t>
      </w:r>
      <w:r>
        <w:t xml:space="preserve">In our view, the definition is clear, as highlighted in the excerpt below, from clause 8.6.2 in TS 38.133: </w:t>
      </w:r>
    </w:p>
    <w:tbl>
      <w:tblPr>
        <w:tblStyle w:val="TableGrid"/>
        <w:tblW w:w="0" w:type="auto"/>
        <w:tblLook w:val="04A0" w:firstRow="1" w:lastRow="0" w:firstColumn="1" w:lastColumn="0" w:noHBand="0" w:noVBand="1"/>
      </w:tblPr>
      <w:tblGrid>
        <w:gridCol w:w="9617"/>
      </w:tblGrid>
      <w:tr w:rsidR="00D03701" w14:paraId="04523B44" w14:textId="77777777" w:rsidTr="001E7731">
        <w:tc>
          <w:tcPr>
            <w:tcW w:w="9617" w:type="dxa"/>
          </w:tcPr>
          <w:p w14:paraId="486F49E5" w14:textId="77777777" w:rsidR="00D03701" w:rsidRDefault="00D03701" w:rsidP="001E7731">
            <w:pPr>
              <w:rPr>
                <w:lang w:val="en-GB"/>
              </w:rPr>
            </w:pPr>
            <w:r>
              <w:rPr>
                <w:lang w:eastAsia="zh-CN"/>
              </w:rPr>
              <w:t xml:space="preserve">For DCI-based BWP </w:t>
            </w:r>
            <w:r w:rsidRPr="007A1359">
              <w:rPr>
                <w:lang w:eastAsia="zh-CN"/>
              </w:rPr>
              <w:t xml:space="preserve">switch, </w:t>
            </w:r>
            <w:r w:rsidRPr="007A1359">
              <w:t xml:space="preserve">after the UE receives BWP switching request at DL slot n </w:t>
            </w:r>
            <w:r w:rsidRPr="007A1359">
              <w:rPr>
                <w:lang w:eastAsia="zh-CN"/>
              </w:rPr>
              <w:t>on a serving cell</w:t>
            </w:r>
            <w:r w:rsidRPr="007A1359">
              <w:t xml:space="preserve">, UE shall be </w:t>
            </w:r>
            <w:r w:rsidRPr="007A1359">
              <w:rPr>
                <w:lang w:eastAsia="zh-CN"/>
              </w:rPr>
              <w:t>able to receive PDSCH (for DL active BWP switch) or transmit PUSCH (for UL active BWP switch) on the new BWP on the serving cell</w:t>
            </w:r>
            <w:r w:rsidRPr="007A1359">
              <w:t xml:space="preserve"> </w:t>
            </w:r>
            <w:r w:rsidRPr="007A1359">
              <w:rPr>
                <w:lang w:eastAsia="zh-CN"/>
              </w:rPr>
              <w:t xml:space="preserve">on which BWP switch </w:t>
            </w:r>
            <w:r w:rsidRPr="007A1359">
              <w:t xml:space="preserve">on the first DL or UL slot </w:t>
            </w:r>
            <w:r w:rsidRPr="007A1359">
              <w:rPr>
                <w:lang w:eastAsia="zh-CN"/>
              </w:rPr>
              <w:t>occurs</w:t>
            </w:r>
            <w:r w:rsidRPr="007A1359">
              <w:t xml:space="preserve"> right after a time duration of</w:t>
            </w:r>
            <w:r>
              <w:t xml:space="preserve"> T</w:t>
            </w:r>
            <w:r>
              <w:rPr>
                <w:vertAlign w:val="subscript"/>
              </w:rPr>
              <w:t>BWPswitchDelay</w:t>
            </w:r>
            <w:r>
              <w:t xml:space="preserve"> + Y which starts from the beginning of DL slot n. </w:t>
            </w:r>
            <w:proofErr w:type="gramStart"/>
            <w:r>
              <w:t>Where</w:t>
            </w:r>
            <w:proofErr w:type="gramEnd"/>
            <w:r>
              <w:t>,</w:t>
            </w:r>
          </w:p>
          <w:p w14:paraId="7072A35D" w14:textId="77777777" w:rsidR="00D03701" w:rsidRDefault="00D03701" w:rsidP="001E7731">
            <w:pPr>
              <w:pStyle w:val="B1"/>
            </w:pPr>
            <w:r>
              <w:t>-</w:t>
            </w:r>
            <w:r>
              <w:tab/>
              <w:t>Y=0, if the serving cell where UE receives DCI for BWP switch request is same as the serving cell on which BWP switch occurs.</w:t>
            </w:r>
          </w:p>
          <w:p w14:paraId="78F22A6E" w14:textId="77777777" w:rsidR="00D03701" w:rsidRDefault="00D03701" w:rsidP="001E7731">
            <w:r>
              <w:t>-</w:t>
            </w:r>
            <w:r>
              <w:tab/>
              <w:t>Y</w:t>
            </w:r>
            <w:r>
              <w:rPr>
                <w:lang w:eastAsia="zh-CN"/>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14:paraId="7D52C3B4" w14:textId="77777777" w:rsidR="00D03701" w:rsidRDefault="00D03701" w:rsidP="001E7731"/>
          <w:p w14:paraId="6B2AD96F" w14:textId="77777777" w:rsidR="00D03701" w:rsidRDefault="00D03701" w:rsidP="001E7731">
            <w:pPr>
              <w:shd w:val="clear" w:color="auto" w:fill="FFFFFF" w:themeFill="background1"/>
              <w:rPr>
                <w:lang w:eastAsia="zh-CN"/>
              </w:rPr>
            </w:pPr>
            <w:r w:rsidRPr="0001768E">
              <w:rPr>
                <w:lang w:eastAsia="zh-CN"/>
              </w:rPr>
              <w:t>The UE is not required to transmit UL signals or receive DL signals until the first DL or UL slot occurs right after a time duration of T</w:t>
            </w:r>
            <w:r w:rsidRPr="0001768E">
              <w:rPr>
                <w:vertAlign w:val="subscript"/>
                <w:lang w:eastAsia="zh-CN"/>
              </w:rPr>
              <w:t>BWPswitchDelay</w:t>
            </w:r>
            <w:r w:rsidRPr="0001768E">
              <w:rPr>
                <w:lang w:eastAsia="zh-CN"/>
              </w:rPr>
              <w:t xml:space="preserve"> which starts from the beginning of DL slot n except DCI triggering BWP switch on the cell where DCI-based BWP switch occurs. </w:t>
            </w:r>
            <w:r w:rsidRPr="0001768E">
              <w:t>The UE is not required to follow the requirements defined in this clause when performing a DCI-based BWP switch between the BWPs in disjoint channel bandwidths or in partially overlapping channel bandwidths.</w:t>
            </w:r>
            <w:r>
              <w:t xml:space="preserve"> </w:t>
            </w:r>
          </w:p>
          <w:p w14:paraId="65E459B4" w14:textId="77777777" w:rsidR="00D03701" w:rsidRDefault="00D03701" w:rsidP="001E7731"/>
        </w:tc>
      </w:tr>
    </w:tbl>
    <w:p w14:paraId="61B85041" w14:textId="77777777" w:rsidR="00D03701" w:rsidRDefault="00D03701" w:rsidP="00D03701"/>
    <w:p w14:paraId="76EBC26C" w14:textId="77777777" w:rsidR="00D03701" w:rsidRDefault="00D03701" w:rsidP="00D03701">
      <w:r>
        <w:t xml:space="preserve">However, since some companies mentioned that the definition was unclear, for the sake of this discussion, we propose the clarify it as following: </w:t>
      </w:r>
    </w:p>
    <w:p w14:paraId="4D8EB041" w14:textId="77777777" w:rsidR="00D03701" w:rsidRDefault="00D03701" w:rsidP="00D03701">
      <w:pPr>
        <w:pStyle w:val="RAN4proposal"/>
      </w:pPr>
      <w:r>
        <w:t xml:space="preserve">Clarify that in cross carrier active BWP switch in FR2-2, the delay starts on slot n at the serving cell in which the UE receives the DCI switching request. </w:t>
      </w:r>
    </w:p>
    <w:p w14:paraId="760C93BD" w14:textId="77777777" w:rsidR="00D03701" w:rsidRPr="00FD2DD2" w:rsidRDefault="00D03701" w:rsidP="00D03701">
      <w:pPr>
        <w:rPr>
          <w:lang w:val="en-GB"/>
        </w:rPr>
      </w:pPr>
      <w:r>
        <w:t xml:space="preserve">The current active BWP switch requirements already comprise a delay component, Y, to account for the case in which the serving cell in which the UE receives the DCI switching request is different from the serving cell in which the BWP occurs. Y accounts for the misalignment between the SCS in the different cells. </w:t>
      </w:r>
    </w:p>
    <w:p w14:paraId="5B8CA99A" w14:textId="77777777" w:rsidR="00D03701" w:rsidRPr="007A1359" w:rsidRDefault="00D03701" w:rsidP="00D03701">
      <w:pPr>
        <w:pStyle w:val="RAN4observation0"/>
      </w:pPr>
      <w:r w:rsidRPr="007A1359">
        <w:rPr>
          <w:lang w:eastAsia="da-DK"/>
        </w:rPr>
        <w:t xml:space="preserve">The requirements for active BWP switch requirements already comprise a delay component, Y, to account for the difference between the SCS from the cell in which the switching command is received, and the cell in which the BWP switch occurs. </w:t>
      </w:r>
    </w:p>
    <w:p w14:paraId="3E53612C" w14:textId="77777777" w:rsidR="00D03701" w:rsidRDefault="00D03701" w:rsidP="00D03701">
      <w:r>
        <w:lastRenderedPageBreak/>
        <w:t>It is important to observe that in baseline requirements, the values of T</w:t>
      </w:r>
      <w:r w:rsidRPr="007A4190">
        <w:rPr>
          <w:vertAlign w:val="subscript"/>
        </w:rPr>
        <w:t>BWPswitchDelay</w:t>
      </w:r>
      <w:r>
        <w:t xml:space="preserve"> do not change according to the different types of BWP switch: timer-based, DCI-based, simultaneous DCI based BWP switch delay on multiple CCs, </w:t>
      </w:r>
      <w:proofErr w:type="gramStart"/>
      <w:r>
        <w:t>timer based</w:t>
      </w:r>
      <w:proofErr w:type="gramEnd"/>
      <w:r>
        <w:t xml:space="preserve"> BWP switch delay on multiple CCs. All these types of active BWP switch refer to the table 8.6.2.-1: BWP switch delay, and we believe the same should be assumed for FR2-2.</w:t>
      </w:r>
    </w:p>
    <w:p w14:paraId="1FC3A1DD" w14:textId="77777777" w:rsidR="00D03701" w:rsidRDefault="00D03701" w:rsidP="00D03701">
      <w:pPr>
        <w:pStyle w:val="RAN4observation0"/>
      </w:pPr>
      <w:r w:rsidRPr="0001768E">
        <w:t>Whenever possible, RAN4 should strive for defining FR2-2 requirements within the framework defined earlier for FR1 and FR2-</w:t>
      </w:r>
      <w:r>
        <w:t>1</w:t>
      </w:r>
      <w:r w:rsidRPr="0001768E">
        <w:t>.</w:t>
      </w:r>
    </w:p>
    <w:p w14:paraId="2F255CB3" w14:textId="77777777" w:rsidR="00D03701" w:rsidRDefault="00D03701" w:rsidP="00D03701">
      <w:r>
        <w:t xml:space="preserve">In FR1 and FR2-1, slot lengths are longer when compared to FR2-2, and 1 slot was sufficient to accommodate for the relative receive time difference in cross-carrier BWP switch. Depending on the cross-carrier BWP switch scenario in FR2-2, however, this might not be the case, since the slot lengths are as short as 15.625 us and might not be enough to account for the receive time difference (propagation delay and timing alignment error), especially in asynchronous scenarios. As such, the cross-carrier BWP delay shall account for the receive time difference between the carrier in which the switching command is received, and the carrier in which the BWP switch will occur, as agreed in </w:t>
      </w:r>
      <w:r>
        <w:fldChar w:fldCharType="begin"/>
      </w:r>
      <w:r>
        <w:instrText xml:space="preserve"> REF _Ref88570466 \r \h </w:instrText>
      </w:r>
      <w:r>
        <w:fldChar w:fldCharType="separate"/>
      </w:r>
      <w:r>
        <w:t>[2]</w:t>
      </w:r>
      <w:r>
        <w:fldChar w:fldCharType="end"/>
      </w:r>
      <w:r>
        <w:t xml:space="preserve">. </w:t>
      </w:r>
    </w:p>
    <w:p w14:paraId="47620875" w14:textId="77777777" w:rsidR="00D03701" w:rsidRDefault="00D03701" w:rsidP="00D03701">
      <w:r>
        <w:t>Therefore, we propose:</w:t>
      </w:r>
    </w:p>
    <w:bookmarkStart w:id="2" w:name="_Hlk92180676"/>
    <w:p w14:paraId="16EB4AA5" w14:textId="77777777" w:rsidR="00D03701" w:rsidRPr="000A74CD" w:rsidRDefault="00D03701" w:rsidP="00D03701">
      <w:pPr>
        <w:pStyle w:val="RAN4proposal"/>
        <w:rPr>
          <w:lang w:val="en-GB"/>
        </w:rPr>
      </w:pP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oMath>
      <w:r w:rsidRPr="67CE92D7">
        <w:rPr>
          <w:rFonts w:eastAsiaTheme="minorEastAsia"/>
        </w:rPr>
        <w:t xml:space="preserve"> shall be the same for all DCI based active bandwidth part switch requirements. MRTD is accounted for in a separate term within the cross-carrier BWP switch delay, as in Proposal 3.</w:t>
      </w:r>
    </w:p>
    <w:p w14:paraId="5B9B631F" w14:textId="77777777" w:rsidR="00D03701" w:rsidRDefault="00D03701" w:rsidP="00D03701">
      <w:pPr>
        <w:pStyle w:val="RAN4proposal"/>
        <w:rPr>
          <w:rFonts w:eastAsiaTheme="minorEastAsia"/>
        </w:rPr>
      </w:pPr>
      <w:r>
        <w:t xml:space="preserve">For FR2-2, define the cross-carrier active BWP switch delay as: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CrossCarrierBWPswitchDelay</m:t>
            </m:r>
          </m:sub>
        </m:sSub>
        <m:r>
          <m:rPr>
            <m:sty m:val="b"/>
          </m:rPr>
          <w:rPr>
            <w:rFonts w:ascii="Cambria Math" w:hAnsi="Cambria Math"/>
          </w:rPr>
          <m:t xml:space="preserve"> = </m:t>
        </m:r>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r>
          <m:rPr>
            <m:sty m:val="b"/>
          </m:rPr>
          <w:rPr>
            <w:rFonts w:ascii="Cambria Math" w:hAnsi="Cambria Math"/>
          </w:rPr>
          <m:t xml:space="preserve"> + Y</m:t>
        </m:r>
      </m:oMath>
      <w:r>
        <w:rPr>
          <w:rFonts w:eastAsiaTheme="minorEastAsia"/>
        </w:rPr>
        <w:t>, where:</w:t>
      </w:r>
    </w:p>
    <w:p w14:paraId="73368B87" w14:textId="77777777" w:rsidR="00D03701" w:rsidRPr="009F75DD" w:rsidRDefault="00D03701" w:rsidP="00D03701">
      <w:pPr>
        <w:pStyle w:val="RAN4proposal"/>
        <w:numPr>
          <w:ilvl w:val="0"/>
          <w:numId w:val="0"/>
        </w:numPr>
        <w:ind w:left="360"/>
      </w:pPr>
      <w:r>
        <w:rPr>
          <w:b w:val="0"/>
          <w:i/>
          <w:iCs w:val="0"/>
        </w:rPr>
        <w:t xml:space="preserve">Y </w:t>
      </w:r>
      <w:r>
        <w:rPr>
          <w:b w:val="0"/>
          <w:iCs w:val="0"/>
          <w:szCs w:val="22"/>
        </w:rPr>
        <w:t>–</w:t>
      </w:r>
      <w:r>
        <w:t xml:space="preserve"> </w:t>
      </w:r>
      <w:r>
        <w:rPr>
          <w:rFonts w:eastAsiaTheme="minorEastAsia"/>
        </w:rPr>
        <w:t>is given by:</w:t>
      </w:r>
      <m:oMath>
        <m:d>
          <m:dPr>
            <m:begChr m:val="⌈"/>
            <m:endChr m:val="⌉"/>
            <m:ctrlPr>
              <w:rPr>
                <w:rFonts w:ascii="Cambria Math" w:hAnsi="Cambria Math"/>
                <w:b w:val="0"/>
                <w:i/>
                <w:iCs w:val="0"/>
                <w:szCs w:val="22"/>
              </w:rPr>
            </m:ctrlPr>
          </m:dPr>
          <m:e>
            <m:f>
              <m:fPr>
                <m:ctrlPr>
                  <w:rPr>
                    <w:rFonts w:ascii="Cambria Math" w:hAnsi="Cambria Math"/>
                    <w:b w:val="0"/>
                    <w:i/>
                    <w:iCs w:val="0"/>
                    <w:szCs w:val="22"/>
                  </w:rPr>
                </m:ctrlPr>
              </m:fPr>
              <m:num>
                <m:r>
                  <m:rPr>
                    <m:sty m:val="bi"/>
                  </m:rPr>
                  <w:rPr>
                    <w:rFonts w:ascii="Cambria Math" w:hAnsi="Cambria Math"/>
                  </w:rPr>
                  <m:t>MRTD</m:t>
                </m:r>
              </m:num>
              <m:den>
                <m:r>
                  <m:rPr>
                    <m:sty m:val="bi"/>
                  </m:rPr>
                  <w:rPr>
                    <w:rFonts w:ascii="Cambria Math" w:hAnsi="Cambria Math"/>
                  </w:rPr>
                  <m:t>Tslot</m:t>
                </m:r>
              </m:den>
            </m:f>
          </m:e>
        </m:d>
      </m:oMath>
      <w:r>
        <w:rPr>
          <w:rFonts w:eastAsiaTheme="minorEastAsia"/>
        </w:rPr>
        <w:t xml:space="preserve">, where </w:t>
      </w:r>
      <w:r w:rsidRPr="7D6D324A">
        <w:rPr>
          <w:i/>
        </w:rPr>
        <w:t>MRTD</w:t>
      </w:r>
      <w:r>
        <w:t xml:space="preserve"> is the maximum receive timing difference between the serving cell where UE receives DCI for BWP switch and the serving cell on which BWP switch occurs, and </w:t>
      </w:r>
      <w:r w:rsidRPr="00F20281">
        <w:rPr>
          <w:i/>
        </w:rPr>
        <w:t>T</w:t>
      </w:r>
      <w:r w:rsidRPr="00F20281">
        <w:rPr>
          <w:i/>
          <w:vertAlign w:val="subscript"/>
        </w:rPr>
        <w:t>sl</w:t>
      </w:r>
      <w:r>
        <w:rPr>
          <w:i/>
          <w:vertAlign w:val="subscript"/>
        </w:rPr>
        <w:t xml:space="preserve">ot </w:t>
      </w:r>
      <w:r w:rsidRPr="00BE3844">
        <w:rPr>
          <w:rFonts w:eastAsia="Times New Roman" w:cs="Times New Roman"/>
          <w:szCs w:val="20"/>
          <w:lang w:val="en-GB" w:eastAsia="da-DK"/>
        </w:rPr>
        <w:t>shall follow the smaller SCS of scheduling cell, scheduled cells before and scheduled cells after active BWP change</w:t>
      </w:r>
    </w:p>
    <w:p w14:paraId="0E93B022" w14:textId="77777777" w:rsidR="00D03701" w:rsidRPr="007A1359" w:rsidRDefault="00D03701" w:rsidP="00D03701">
      <w:pPr>
        <w:ind w:firstLine="360"/>
      </w:pPr>
      <w:r>
        <w:rPr>
          <w:rFonts w:eastAsiaTheme="minorEastAsia"/>
        </w:rPr>
        <w:t>According to our proposal 3, the delay component Y would already comprise a margin, given by the ceiling to the integer number when dividing the MRTD by the slot length. Therefore, there is no need to consider any other additional margin.</w:t>
      </w:r>
    </w:p>
    <w:p w14:paraId="52D8C604" w14:textId="77777777" w:rsidR="00D03701" w:rsidRDefault="00D03701" w:rsidP="00D03701">
      <w:pPr>
        <w:pStyle w:val="RAN4proposal"/>
      </w:pPr>
      <w:r>
        <w:t>The MRTD values in Proposal 3 shall refer to the clause in which MRTD values for FR2-2 will be included.</w:t>
      </w:r>
    </w:p>
    <w:p w14:paraId="61317419" w14:textId="77777777" w:rsidR="00D03701" w:rsidRPr="00A81882" w:rsidRDefault="00D03701" w:rsidP="00D03701">
      <w:pPr>
        <w:pStyle w:val="RAN4proposal"/>
        <w:numPr>
          <w:ilvl w:val="0"/>
          <w:numId w:val="0"/>
        </w:numPr>
        <w:ind w:left="360" w:hanging="360"/>
      </w:pPr>
    </w:p>
    <w:bookmarkEnd w:id="2"/>
    <w:p w14:paraId="413FCB75" w14:textId="77777777" w:rsidR="00D03701" w:rsidRDefault="00D03701" w:rsidP="00D03701">
      <w:pPr>
        <w:pStyle w:val="RAN4H1"/>
        <w:numPr>
          <w:ilvl w:val="0"/>
          <w:numId w:val="3"/>
        </w:numPr>
      </w:pPr>
      <w:r>
        <w:t>Conclusions</w:t>
      </w:r>
    </w:p>
    <w:p w14:paraId="476D2251" w14:textId="77777777" w:rsidR="00D03701" w:rsidRPr="007A1359" w:rsidRDefault="00D03701" w:rsidP="00D03701">
      <w:pPr>
        <w:pStyle w:val="RAN4Observation"/>
        <w:numPr>
          <w:ilvl w:val="0"/>
          <w:numId w:val="9"/>
        </w:numPr>
      </w:pPr>
      <w:r>
        <w:t xml:space="preserve"> </w:t>
      </w:r>
      <w:r w:rsidRPr="007A1359">
        <w:rPr>
          <w:lang w:eastAsia="da-DK"/>
        </w:rPr>
        <w:t xml:space="preserve">The requirements for active BWP switch requirements already comprise a delay component, Y, to account for the difference between the SCS from the cell in which the switching command is received, and the cell in which the BWP switch occurs. </w:t>
      </w:r>
    </w:p>
    <w:p w14:paraId="40CA5CF6" w14:textId="77777777" w:rsidR="00D03701" w:rsidRDefault="00D03701" w:rsidP="00D03701">
      <w:pPr>
        <w:pStyle w:val="RAN4Observation"/>
        <w:numPr>
          <w:ilvl w:val="0"/>
          <w:numId w:val="9"/>
        </w:numPr>
      </w:pPr>
      <w:r w:rsidRPr="0001768E">
        <w:t>Whenever possible, RAN4 should strive for defining FR2-2 requirements within the framework defined earlier for FR1 and FR2-</w:t>
      </w:r>
      <w:r>
        <w:t>1</w:t>
      </w:r>
      <w:r w:rsidRPr="0001768E">
        <w:t>.</w:t>
      </w:r>
    </w:p>
    <w:p w14:paraId="2E5D138C" w14:textId="77777777" w:rsidR="00D03701" w:rsidRDefault="00D03701" w:rsidP="00D03701">
      <w:pPr>
        <w:pStyle w:val="RAN4proposal"/>
        <w:numPr>
          <w:ilvl w:val="0"/>
          <w:numId w:val="10"/>
        </w:numPr>
      </w:pPr>
      <w:r>
        <w:t xml:space="preserve">Clarify that in cross carrier active BWP switch in FR2-2, the delay starts on slot n at the serving cell in which the UE receives the DCI switching request. </w:t>
      </w:r>
    </w:p>
    <w:p w14:paraId="43C3B4F4" w14:textId="77777777" w:rsidR="00D03701" w:rsidRPr="000A74CD" w:rsidRDefault="00D03701" w:rsidP="00D03701">
      <w:pPr>
        <w:pStyle w:val="RAN4proposal"/>
        <w:rPr>
          <w:lang w:val="en-GB"/>
        </w:rPr>
      </w:pP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oMath>
      <w:r w:rsidRPr="67CE92D7">
        <w:rPr>
          <w:rFonts w:eastAsiaTheme="minorEastAsia"/>
        </w:rPr>
        <w:t xml:space="preserve"> shall be the same for all DCI based active bandwidth part switch requirements. MRTD is accounted for in a separate term within the cross-carrier BWP switch delay, as in Proposal 3.</w:t>
      </w:r>
    </w:p>
    <w:p w14:paraId="4601DF57" w14:textId="77777777" w:rsidR="00D03701" w:rsidRDefault="00D03701" w:rsidP="00D03701">
      <w:pPr>
        <w:pStyle w:val="RAN4proposal"/>
        <w:rPr>
          <w:rFonts w:eastAsiaTheme="minorEastAsia"/>
        </w:rPr>
      </w:pPr>
      <w:r>
        <w:t xml:space="preserve">For FR2-2, define the cross-carrier active BWP switch delay as: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CrossCarrierBWPswitchDelay</m:t>
            </m:r>
          </m:sub>
        </m:sSub>
        <m:r>
          <m:rPr>
            <m:sty m:val="b"/>
          </m:rPr>
          <w:rPr>
            <w:rFonts w:ascii="Cambria Math" w:hAnsi="Cambria Math"/>
          </w:rPr>
          <m:t xml:space="preserve"> = </m:t>
        </m:r>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r>
          <m:rPr>
            <m:sty m:val="b"/>
          </m:rPr>
          <w:rPr>
            <w:rFonts w:ascii="Cambria Math" w:hAnsi="Cambria Math"/>
          </w:rPr>
          <m:t xml:space="preserve"> + Y</m:t>
        </m:r>
      </m:oMath>
      <w:r>
        <w:rPr>
          <w:rFonts w:eastAsiaTheme="minorEastAsia"/>
        </w:rPr>
        <w:t>, where:</w:t>
      </w:r>
    </w:p>
    <w:p w14:paraId="50E1D942" w14:textId="77777777" w:rsidR="00D03701" w:rsidRPr="009F75DD" w:rsidRDefault="00D03701" w:rsidP="00D03701">
      <w:pPr>
        <w:pStyle w:val="RAN4proposal"/>
        <w:numPr>
          <w:ilvl w:val="0"/>
          <w:numId w:val="0"/>
        </w:numPr>
        <w:ind w:left="360"/>
      </w:pPr>
      <w:r>
        <w:rPr>
          <w:b w:val="0"/>
          <w:i/>
          <w:iCs w:val="0"/>
        </w:rPr>
        <w:t xml:space="preserve">Y </w:t>
      </w:r>
      <w:r>
        <w:rPr>
          <w:b w:val="0"/>
          <w:iCs w:val="0"/>
          <w:szCs w:val="22"/>
        </w:rPr>
        <w:t>–</w:t>
      </w:r>
      <w:r>
        <w:t xml:space="preserve"> </w:t>
      </w:r>
      <w:r>
        <w:rPr>
          <w:rFonts w:eastAsiaTheme="minorEastAsia"/>
        </w:rPr>
        <w:t>is given by:</w:t>
      </w:r>
      <m:oMath>
        <m:d>
          <m:dPr>
            <m:begChr m:val="⌈"/>
            <m:endChr m:val="⌉"/>
            <m:ctrlPr>
              <w:rPr>
                <w:rFonts w:ascii="Cambria Math" w:hAnsi="Cambria Math"/>
                <w:b w:val="0"/>
                <w:i/>
                <w:iCs w:val="0"/>
                <w:szCs w:val="22"/>
              </w:rPr>
            </m:ctrlPr>
          </m:dPr>
          <m:e>
            <m:f>
              <m:fPr>
                <m:ctrlPr>
                  <w:rPr>
                    <w:rFonts w:ascii="Cambria Math" w:hAnsi="Cambria Math"/>
                    <w:b w:val="0"/>
                    <w:i/>
                    <w:iCs w:val="0"/>
                    <w:szCs w:val="22"/>
                  </w:rPr>
                </m:ctrlPr>
              </m:fPr>
              <m:num>
                <m:r>
                  <m:rPr>
                    <m:sty m:val="bi"/>
                  </m:rPr>
                  <w:rPr>
                    <w:rFonts w:ascii="Cambria Math" w:hAnsi="Cambria Math"/>
                  </w:rPr>
                  <m:t>MRTD</m:t>
                </m:r>
              </m:num>
              <m:den>
                <m:r>
                  <m:rPr>
                    <m:sty m:val="bi"/>
                  </m:rPr>
                  <w:rPr>
                    <w:rFonts w:ascii="Cambria Math" w:hAnsi="Cambria Math"/>
                  </w:rPr>
                  <m:t>Tslot</m:t>
                </m:r>
              </m:den>
            </m:f>
          </m:e>
        </m:d>
      </m:oMath>
      <w:r>
        <w:rPr>
          <w:rFonts w:eastAsiaTheme="minorEastAsia"/>
        </w:rPr>
        <w:t xml:space="preserve">, where </w:t>
      </w:r>
      <w:r w:rsidRPr="7D6D324A">
        <w:rPr>
          <w:i/>
        </w:rPr>
        <w:t>MRTD</w:t>
      </w:r>
      <w:r>
        <w:t xml:space="preserve"> is the maximum receive timing difference between the serving cell where UE receives DCI for BWP switch and the serving cell on which BWP switch occurs, and </w:t>
      </w:r>
      <w:r w:rsidRPr="00F20281">
        <w:rPr>
          <w:i/>
        </w:rPr>
        <w:t>T</w:t>
      </w:r>
      <w:r w:rsidRPr="00F20281">
        <w:rPr>
          <w:i/>
          <w:vertAlign w:val="subscript"/>
        </w:rPr>
        <w:t>sl</w:t>
      </w:r>
      <w:r>
        <w:rPr>
          <w:i/>
          <w:vertAlign w:val="subscript"/>
        </w:rPr>
        <w:t xml:space="preserve">ot </w:t>
      </w:r>
      <w:r w:rsidRPr="00BE3844">
        <w:rPr>
          <w:rFonts w:eastAsia="Times New Roman" w:cs="Times New Roman"/>
          <w:szCs w:val="20"/>
          <w:lang w:val="en-GB" w:eastAsia="da-DK"/>
        </w:rPr>
        <w:t>shall follow the smaller SCS of scheduling cell, scheduled cells before and scheduled cells after active BWP change</w:t>
      </w:r>
    </w:p>
    <w:p w14:paraId="03588BDA" w14:textId="77777777" w:rsidR="00D03701" w:rsidRPr="007A1359" w:rsidRDefault="00D03701" w:rsidP="00D03701">
      <w:pPr>
        <w:pStyle w:val="RAN4proposal"/>
      </w:pPr>
      <w:r w:rsidRPr="007A1359">
        <w:t xml:space="preserve"> </w:t>
      </w:r>
      <w:r>
        <w:t>The MRTD values in Proposal 3 shall refer to the clause in which MRTD values for FR2-2 will be included.</w:t>
      </w:r>
    </w:p>
    <w:p w14:paraId="76F9D99F" w14:textId="77777777" w:rsidR="00D03701" w:rsidRPr="0095295C" w:rsidRDefault="00D03701" w:rsidP="00D03701">
      <w:pPr>
        <w:pStyle w:val="RAN4H1"/>
      </w:pPr>
      <w:r w:rsidRPr="0095295C">
        <w:lastRenderedPageBreak/>
        <w:t>References</w:t>
      </w:r>
    </w:p>
    <w:p w14:paraId="6A1EA823" w14:textId="77777777" w:rsidR="00D03701" w:rsidRPr="006C45DA" w:rsidRDefault="00D03701" w:rsidP="00D03701">
      <w:pPr>
        <w:numPr>
          <w:ilvl w:val="0"/>
          <w:numId w:val="1"/>
        </w:numPr>
        <w:overflowPunct w:val="0"/>
        <w:autoSpaceDE w:val="0"/>
        <w:autoSpaceDN w:val="0"/>
        <w:adjustRightInd w:val="0"/>
        <w:spacing w:after="120" w:line="240" w:lineRule="auto"/>
        <w:jc w:val="both"/>
        <w:textAlignment w:val="baseline"/>
        <w:rPr>
          <w:lang w:val="en-GB"/>
        </w:rPr>
      </w:pPr>
      <w:bookmarkStart w:id="3" w:name="_Ref88570410"/>
      <w:r>
        <w:t>R4-2120316, “WF on NR extension to 71 GHz RRM requirements (Part 1)”, Qualcomm</w:t>
      </w:r>
      <w:bookmarkEnd w:id="3"/>
    </w:p>
    <w:p w14:paraId="35253ED3" w14:textId="77777777" w:rsidR="00D03701" w:rsidRPr="006C45DA" w:rsidRDefault="00D03701" w:rsidP="00D03701">
      <w:pPr>
        <w:numPr>
          <w:ilvl w:val="0"/>
          <w:numId w:val="1"/>
        </w:numPr>
        <w:overflowPunct w:val="0"/>
        <w:autoSpaceDE w:val="0"/>
        <w:autoSpaceDN w:val="0"/>
        <w:adjustRightInd w:val="0"/>
        <w:spacing w:after="120" w:line="240" w:lineRule="auto"/>
        <w:jc w:val="both"/>
        <w:textAlignment w:val="baseline"/>
        <w:rPr>
          <w:lang w:val="en-GB"/>
        </w:rPr>
      </w:pPr>
      <w:bookmarkStart w:id="4" w:name="_Ref88570466"/>
      <w:r>
        <w:t>R4-2120317, “WF on NR extension to 71 GHz RRM requirements (Part 2)”, Intel Corporation</w:t>
      </w:r>
      <w:bookmarkEnd w:id="4"/>
    </w:p>
    <w:p w14:paraId="70E80502" w14:textId="77777777" w:rsidR="00D03701" w:rsidRPr="00A753DE" w:rsidRDefault="00D03701" w:rsidP="00D03701">
      <w:pPr>
        <w:numPr>
          <w:ilvl w:val="0"/>
          <w:numId w:val="1"/>
        </w:numPr>
        <w:overflowPunct w:val="0"/>
        <w:autoSpaceDE w:val="0"/>
        <w:autoSpaceDN w:val="0"/>
        <w:adjustRightInd w:val="0"/>
        <w:spacing w:after="120" w:line="240" w:lineRule="auto"/>
        <w:jc w:val="both"/>
        <w:textAlignment w:val="baseline"/>
        <w:rPr>
          <w:lang w:val="en-GB"/>
        </w:rPr>
      </w:pPr>
      <w:bookmarkStart w:id="5" w:name="_Ref92189709"/>
      <w:r>
        <w:rPr>
          <w:lang w:val="en-GB"/>
        </w:rPr>
        <w:t>R4-2118032, “</w:t>
      </w:r>
      <w:r w:rsidRPr="001A1314">
        <w:rPr>
          <w:lang w:val="en-GB"/>
        </w:rPr>
        <w:t>Discussion on BWP switching delay for NR 52.6 – 71 GHz</w:t>
      </w:r>
      <w:r>
        <w:rPr>
          <w:lang w:val="en-GB"/>
        </w:rPr>
        <w:t>”, Intel Corporation</w:t>
      </w:r>
      <w:bookmarkEnd w:id="5"/>
    </w:p>
    <w:p w14:paraId="4E54A3FB" w14:textId="77777777" w:rsidR="00D12821" w:rsidRPr="00D03701" w:rsidRDefault="003F1A7C">
      <w:pPr>
        <w:rPr>
          <w:lang w:val="en-GB"/>
        </w:rPr>
      </w:pPr>
    </w:p>
    <w:sectPr w:rsidR="00D12821" w:rsidRPr="00D0370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E7A8A" w14:textId="77777777" w:rsidR="003F1A7C" w:rsidRDefault="003F1A7C" w:rsidP="00D03701">
      <w:pPr>
        <w:spacing w:after="0" w:line="240" w:lineRule="auto"/>
      </w:pPr>
      <w:r>
        <w:separator/>
      </w:r>
    </w:p>
  </w:endnote>
  <w:endnote w:type="continuationSeparator" w:id="0">
    <w:p w14:paraId="6BDDA892" w14:textId="77777777" w:rsidR="003F1A7C" w:rsidRDefault="003F1A7C" w:rsidP="00D03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B4AFA" w14:textId="77777777" w:rsidR="003F1A7C" w:rsidRDefault="003F1A7C" w:rsidP="00D03701">
      <w:pPr>
        <w:spacing w:after="0" w:line="240" w:lineRule="auto"/>
      </w:pPr>
      <w:r>
        <w:separator/>
      </w:r>
    </w:p>
  </w:footnote>
  <w:footnote w:type="continuationSeparator" w:id="0">
    <w:p w14:paraId="73ED3D6B" w14:textId="77777777" w:rsidR="003F1A7C" w:rsidRDefault="003F1A7C" w:rsidP="00D03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3C2B93"/>
    <w:multiLevelType w:val="multilevel"/>
    <w:tmpl w:val="B5DA2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B43B9D"/>
    <w:multiLevelType w:val="hybridMultilevel"/>
    <w:tmpl w:val="3A86AB78"/>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3" w15:restartNumberingAfterBreak="0">
    <w:nsid w:val="4D6E3167"/>
    <w:multiLevelType w:val="hybridMultilevel"/>
    <w:tmpl w:val="67161EF0"/>
    <w:lvl w:ilvl="0" w:tplc="3F0AD47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C5234FF"/>
    <w:multiLevelType w:val="multilevel"/>
    <w:tmpl w:val="B87AC69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num w:numId="1">
    <w:abstractNumId w:val="0"/>
  </w:num>
  <w:num w:numId="2">
    <w:abstractNumId w:val="3"/>
  </w:num>
  <w:num w:numId="3">
    <w:abstractNumId w:val="5"/>
  </w:num>
  <w:num w:numId="4">
    <w:abstractNumId w:val="2"/>
  </w:num>
  <w:num w:numId="5">
    <w:abstractNumId w:val="1"/>
  </w:num>
  <w:num w:numId="6">
    <w:abstractNumId w:val="7"/>
  </w:num>
  <w:num w:numId="7">
    <w:abstractNumId w:val="4"/>
  </w:num>
  <w:num w:numId="8">
    <w:abstractNumId w:val="6"/>
  </w:num>
  <w:num w:numId="9">
    <w:abstractNumId w:val="2"/>
    <w:lvlOverride w:ilvl="0">
      <w:startOverride w:val="1"/>
    </w:lvlOverride>
  </w:num>
  <w:num w:numId="1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701"/>
    <w:rsid w:val="00147318"/>
    <w:rsid w:val="003F1A7C"/>
    <w:rsid w:val="00495DBC"/>
    <w:rsid w:val="006A5C90"/>
    <w:rsid w:val="00C34E46"/>
    <w:rsid w:val="00CD097B"/>
    <w:rsid w:val="00D03701"/>
    <w:rsid w:val="00EA784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57FF6"/>
  <w15:chartTrackingRefBased/>
  <w15:docId w15:val="{7ED1BA6B-8548-4D49-8A0A-32AECACCD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701"/>
    <w:rPr>
      <w:rFonts w:ascii="Times New Roman" w:hAnsi="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D03701"/>
    <w:pPr>
      <w:ind w:left="720"/>
      <w:contextualSpacing/>
    </w:pPr>
  </w:style>
  <w:style w:type="paragraph" w:customStyle="1" w:styleId="RAN4H1">
    <w:name w:val="RAN4 H1"/>
    <w:basedOn w:val="Normal"/>
    <w:link w:val="RAN4H1Char"/>
    <w:qFormat/>
    <w:rsid w:val="00D037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D03701"/>
    <w:pPr>
      <w:numPr>
        <w:numId w:val="4"/>
      </w:numPr>
    </w:pPr>
    <w:rPr>
      <w:rFonts w:eastAsia="Calibri" w:cs="Times New Roman"/>
      <w:szCs w:val="20"/>
      <w:lang w:val="en-GB"/>
    </w:rPr>
  </w:style>
  <w:style w:type="character" w:customStyle="1" w:styleId="RAN4H1Char">
    <w:name w:val="RAN4 H1 Char"/>
    <w:basedOn w:val="DefaultParagraphFont"/>
    <w:link w:val="RAN4H1"/>
    <w:rsid w:val="00D03701"/>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D03701"/>
    <w:rPr>
      <w:rFonts w:ascii="Times New Roman" w:hAnsi="Times New Roman"/>
      <w:sz w:val="20"/>
      <w:lang w:val="en-US"/>
    </w:rPr>
  </w:style>
  <w:style w:type="character" w:customStyle="1" w:styleId="RAN4ObservationChar">
    <w:name w:val="RAN4 Observation Char"/>
    <w:basedOn w:val="ListParagraphChar"/>
    <w:link w:val="RAN4Observation"/>
    <w:rsid w:val="00D03701"/>
    <w:rPr>
      <w:rFonts w:ascii="Times New Roman" w:eastAsia="Calibri" w:hAnsi="Times New Roman" w:cs="Times New Roman"/>
      <w:sz w:val="20"/>
      <w:szCs w:val="20"/>
      <w:lang w:val="en-GB"/>
    </w:rPr>
  </w:style>
  <w:style w:type="table" w:styleId="TableGrid">
    <w:name w:val="Table Grid"/>
    <w:basedOn w:val="TableNormal"/>
    <w:uiPriority w:val="39"/>
    <w:rsid w:val="00D03701"/>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D03701"/>
    <w:pPr>
      <w:numPr>
        <w:numId w:val="2"/>
      </w:numPr>
    </w:pPr>
    <w:rPr>
      <w:b/>
      <w:i w:val="0"/>
      <w:color w:val="auto"/>
      <w:sz w:val="20"/>
    </w:rPr>
  </w:style>
  <w:style w:type="character" w:customStyle="1" w:styleId="RAN4proposalChar">
    <w:name w:val="RAN4 proposal Char"/>
    <w:basedOn w:val="DefaultParagraphFont"/>
    <w:link w:val="RAN4proposal"/>
    <w:rsid w:val="00D03701"/>
    <w:rPr>
      <w:rFonts w:ascii="Times New Roman" w:hAnsi="Times New Roman"/>
      <w:b/>
      <w:iCs/>
      <w:sz w:val="20"/>
      <w:szCs w:val="18"/>
      <w:lang w:val="en-US"/>
    </w:rPr>
  </w:style>
  <w:style w:type="paragraph" w:customStyle="1" w:styleId="RAN4observation0">
    <w:name w:val="RAN4 observation"/>
    <w:basedOn w:val="RAN4Observation"/>
    <w:next w:val="Normal"/>
    <w:link w:val="RAN4observationChar0"/>
    <w:qFormat/>
    <w:rsid w:val="00D03701"/>
  </w:style>
  <w:style w:type="character" w:customStyle="1" w:styleId="RAN4observationChar0">
    <w:name w:val="RAN4 observation Char"/>
    <w:basedOn w:val="RAN4ObservationChar"/>
    <w:link w:val="RAN4observation0"/>
    <w:rsid w:val="00D03701"/>
    <w:rPr>
      <w:rFonts w:ascii="Times New Roman" w:eastAsia="Calibri" w:hAnsi="Times New Roman" w:cs="Times New Roman"/>
      <w:sz w:val="20"/>
      <w:szCs w:val="20"/>
      <w:lang w:val="en-GB"/>
    </w:rPr>
  </w:style>
  <w:style w:type="paragraph" w:customStyle="1" w:styleId="B1">
    <w:name w:val="B1"/>
    <w:basedOn w:val="Normal"/>
    <w:link w:val="B1Char"/>
    <w:qFormat/>
    <w:rsid w:val="00D03701"/>
    <w:pPr>
      <w:spacing w:after="180" w:line="240" w:lineRule="auto"/>
      <w:ind w:left="568" w:hanging="284"/>
    </w:pPr>
    <w:rPr>
      <w:rFonts w:eastAsia="SimSun" w:cs="Times New Roman"/>
      <w:szCs w:val="20"/>
      <w:lang w:val="en-GB"/>
    </w:rPr>
  </w:style>
  <w:style w:type="character" w:customStyle="1" w:styleId="B1Char">
    <w:name w:val="B1 Char"/>
    <w:link w:val="B1"/>
    <w:qFormat/>
    <w:rsid w:val="00D03701"/>
    <w:rPr>
      <w:rFonts w:ascii="Times New Roman" w:eastAsia="SimSun" w:hAnsi="Times New Roman" w:cs="Times New Roman"/>
      <w:sz w:val="20"/>
      <w:szCs w:val="20"/>
      <w:lang w:val="en-GB"/>
    </w:rPr>
  </w:style>
  <w:style w:type="paragraph" w:customStyle="1" w:styleId="RAN4H3">
    <w:name w:val="RAN4 H3"/>
    <w:basedOn w:val="Normal"/>
    <w:qFormat/>
    <w:rsid w:val="00D03701"/>
    <w:pPr>
      <w:ind w:left="505" w:hanging="505"/>
    </w:pPr>
    <w:rPr>
      <w:rFonts w:ascii="Arial" w:eastAsiaTheme="minorEastAsia" w:hAnsi="Arial" w:cs="Arial"/>
      <w:sz w:val="24"/>
    </w:rPr>
  </w:style>
  <w:style w:type="paragraph" w:styleId="Caption">
    <w:name w:val="caption"/>
    <w:basedOn w:val="Normal"/>
    <w:next w:val="Normal"/>
    <w:uiPriority w:val="35"/>
    <w:semiHidden/>
    <w:unhideWhenUsed/>
    <w:qFormat/>
    <w:rsid w:val="00D0370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1741</Words>
  <Characters>8099</Characters>
  <Application>Microsoft Office Word</Application>
  <DocSecurity>0</DocSecurity>
  <Lines>385</Lines>
  <Paragraphs>317</Paragraphs>
  <ScaleCrop>false</ScaleCrop>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dc:creator>
  <cp:keywords/>
  <dc:description/>
  <cp:lastModifiedBy>Erika Almeida</cp:lastModifiedBy>
  <cp:revision>2</cp:revision>
  <dcterms:created xsi:type="dcterms:W3CDTF">2022-01-10T09:37:00Z</dcterms:created>
  <dcterms:modified xsi:type="dcterms:W3CDTF">2022-01-10T09:38:00Z</dcterms:modified>
</cp:coreProperties>
</file>